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489C0" w14:textId="77777777" w:rsidR="00A06B5C" w:rsidRDefault="00A06B5C">
      <w:bookmarkStart w:id="0" w:name="_GoBack"/>
      <w:bookmarkEnd w:id="0"/>
    </w:p>
    <w:p w14:paraId="0AA6A27B" w14:textId="77777777" w:rsidR="00A06B5C" w:rsidRPr="00EA729B" w:rsidRDefault="00A06B5C" w:rsidP="00A06B5C">
      <w:pPr>
        <w:spacing w:before="100" w:beforeAutospacing="1" w:after="300" w:line="39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EA72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КОНТРОЛЬНО-СЧЕТНАЯ ПАЛАТА РАМЕНСКОГО ГОРОДСКОГО ОКРУГА</w:t>
      </w:r>
    </w:p>
    <w:p w14:paraId="35B409CC" w14:textId="77777777" w:rsidR="00A06B5C" w:rsidRDefault="00A06B5C" w:rsidP="00A06B5C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01"/>
      <w:bookmarkEnd w:id="1"/>
    </w:p>
    <w:p w14:paraId="56E8AB07" w14:textId="77777777" w:rsidR="00A06B5C" w:rsidRDefault="00A06B5C" w:rsidP="00A06B5C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6162B" w14:textId="77777777" w:rsidR="00A06B5C" w:rsidRDefault="00A06B5C" w:rsidP="00A06B5C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D354F" w14:textId="77777777" w:rsidR="00A06B5C" w:rsidRPr="0078672E" w:rsidRDefault="00A06B5C" w:rsidP="00A06B5C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2C855" w14:textId="77777777" w:rsidR="00A06B5C" w:rsidRPr="00EA729B" w:rsidRDefault="00A06B5C" w:rsidP="00A06B5C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2" w:name="100002"/>
      <w:bookmarkEnd w:id="2"/>
      <w:r w:rsidRPr="00EA72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СТАНДАРТ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ОРГАНИЗАЦИИ ДЕЯТЕЛЬНОСТИ</w:t>
      </w:r>
    </w:p>
    <w:p w14:paraId="07BC13F0" w14:textId="77777777" w:rsidR="00A06B5C" w:rsidRPr="00EA729B" w:rsidRDefault="00A06B5C" w:rsidP="00A06B5C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3" w:name="100003"/>
      <w:bookmarkEnd w:id="3"/>
    </w:p>
    <w:p w14:paraId="643948D0" w14:textId="4273914A" w:rsidR="00A06B5C" w:rsidRPr="00A06B5C" w:rsidRDefault="00A06B5C" w:rsidP="00A06B5C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" w:name="100004"/>
      <w:bookmarkEnd w:id="4"/>
      <w:r w:rsidRPr="00A06B5C">
        <w:rPr>
          <w:rFonts w:ascii="Times New Roman" w:hAnsi="Times New Roman" w:cs="Times New Roman"/>
          <w:b/>
          <w:bCs/>
          <w:sz w:val="36"/>
          <w:szCs w:val="36"/>
        </w:rPr>
        <w:t xml:space="preserve">«Подготовка отчетов о работе Контрольно-счетной палаты </w:t>
      </w:r>
      <w:r>
        <w:rPr>
          <w:rFonts w:ascii="Times New Roman" w:hAnsi="Times New Roman" w:cs="Times New Roman"/>
          <w:b/>
          <w:bCs/>
          <w:sz w:val="36"/>
          <w:szCs w:val="36"/>
        </w:rPr>
        <w:t>Раменского</w:t>
      </w:r>
      <w:r w:rsidRPr="00A06B5C">
        <w:rPr>
          <w:rFonts w:ascii="Times New Roman" w:hAnsi="Times New Roman" w:cs="Times New Roman"/>
          <w:b/>
          <w:bCs/>
          <w:sz w:val="36"/>
          <w:szCs w:val="36"/>
        </w:rPr>
        <w:t xml:space="preserve"> городского округа Московской области»</w:t>
      </w:r>
      <w:r w:rsidRPr="00A06B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4F2973C6" w14:textId="4E3862F6" w:rsidR="00A06B5C" w:rsidRPr="0078672E" w:rsidRDefault="00A06B5C" w:rsidP="00A06B5C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распоряжением Контрольно- счетной палаты Раменского городского округа от 15.11.2020 № 3)</w:t>
      </w:r>
    </w:p>
    <w:p w14:paraId="044B516B" w14:textId="77777777" w:rsidR="00A06B5C" w:rsidRDefault="00A06B5C" w:rsidP="00A06B5C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F2B38" w14:textId="77777777" w:rsidR="00A06B5C" w:rsidRDefault="00A06B5C" w:rsidP="00A06B5C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9E9C6" w14:textId="77777777" w:rsidR="00A06B5C" w:rsidRDefault="00A06B5C" w:rsidP="00A06B5C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A1006" w14:textId="77777777" w:rsidR="00A06B5C" w:rsidRDefault="00A06B5C" w:rsidP="00A06B5C">
      <w:pPr>
        <w:spacing w:before="100" w:beforeAutospacing="1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56767" w14:textId="77777777" w:rsidR="00A06B5C" w:rsidRDefault="00A06B5C" w:rsidP="00A06B5C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CE795" w14:textId="77777777" w:rsidR="00A06B5C" w:rsidRDefault="00A06B5C" w:rsidP="00A06B5C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D210F" w14:textId="77777777" w:rsidR="00A06B5C" w:rsidRDefault="00A06B5C" w:rsidP="00A06B5C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A25CD" w14:textId="77777777" w:rsidR="00A06B5C" w:rsidRDefault="00A06B5C" w:rsidP="00A06B5C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8EBF0" w14:textId="77777777" w:rsidR="00A06B5C" w:rsidRDefault="00A06B5C" w:rsidP="00A06B5C">
      <w:pPr>
        <w:spacing w:before="100" w:beforeAutospacing="1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00E15" w14:textId="77777777" w:rsidR="00A06B5C" w:rsidRPr="00BF4990" w:rsidRDefault="00A06B5C" w:rsidP="00A06B5C">
      <w:pPr>
        <w:spacing w:before="100" w:beforeAutospacing="1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2020 год</w:t>
      </w:r>
    </w:p>
    <w:p w14:paraId="75C0E7A2" w14:textId="77777777" w:rsidR="00A06B5C" w:rsidRDefault="00A06B5C"/>
    <w:p w14:paraId="3538B675" w14:textId="77777777" w:rsidR="00A06B5C" w:rsidRDefault="00A06B5C"/>
    <w:p w14:paraId="6A271B0B" w14:textId="77777777" w:rsidR="00A06B5C" w:rsidRDefault="00A06B5C"/>
    <w:p w14:paraId="75DC77A8" w14:textId="77777777" w:rsidR="00A06B5C" w:rsidRDefault="00A06B5C"/>
    <w:p w14:paraId="4F0273BA" w14:textId="77777777" w:rsidR="00A06B5C" w:rsidRP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14:paraId="2AD4BAF0" w14:textId="2150BC6F" w:rsidR="00A06B5C" w:rsidRP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2B288342" w14:textId="3690157B" w:rsidR="00A06B5C" w:rsidRP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2. Термины и определения </w:t>
      </w:r>
    </w:p>
    <w:p w14:paraId="56961A8D" w14:textId="582235D0" w:rsidR="00A06B5C" w:rsidRP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3. Структура и формирование годового отчета </w:t>
      </w:r>
    </w:p>
    <w:p w14:paraId="3681BBCB" w14:textId="33775D2E" w:rsidR="00A06B5C" w:rsidRP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4. Структура и формирование внутригодовых отчетов </w:t>
      </w:r>
    </w:p>
    <w:p w14:paraId="7CDEFD5A" w14:textId="5094D5BE" w:rsidR="00A06B5C" w:rsidRPr="00A06B5C" w:rsidRDefault="00A06B5C" w:rsidP="00A06B5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5. Порядок утверждения отчетов </w:t>
      </w:r>
    </w:p>
    <w:p w14:paraId="3F85AC60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A1D73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EA5E7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5458D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BD1BB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A9BCD6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71667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767A7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73092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7E978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48D08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FCF0D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2167F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98668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62550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0CC45C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0E9C5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172BC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BCECE0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4BE46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531FE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A95BB" w14:textId="50D45D1E" w:rsidR="00A06B5C" w:rsidRP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B5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4310785A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>1.1 Стандарт организации деятельности «Подготовка отчетов о работе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6B5C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области» (далее - Стандарт) разработан в соответствии с Положением о Контрольно-счетной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(далее –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округа), с учетом положений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14:paraId="322E2FC6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>1.2 При разработке настоящего Стандарта был использован Стандарт Стандарта организации деятельности Счетной палаты Российской Федерации СОД 13 «Подготовка отчетов о работе Счетной палаты Российской Федерации», утвержденного решением Коллегии Счетной палаты Российской Федерации от 11.06.2004, протокол № 20 (390) (с изменениями, утвержденными решением Коллегии Счетной палаты Российской Федерации от 21 декабря 2012 года‚ протокол № 56</w:t>
      </w:r>
      <w:proofErr w:type="gramStart"/>
      <w:r w:rsidRPr="00A06B5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06B5C">
        <w:rPr>
          <w:rFonts w:ascii="Times New Roman" w:hAnsi="Times New Roman" w:cs="Times New Roman"/>
          <w:sz w:val="28"/>
          <w:szCs w:val="28"/>
        </w:rPr>
        <w:t xml:space="preserve">889)). </w:t>
      </w:r>
    </w:p>
    <w:p w14:paraId="586A9995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1.3 Целью Стандарта является определение порядка и правил подготовки годового отчета о работе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(далее - годовой отчет) и отчетов о работе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за 1 квартал, полугодие и 9 месяцев текущего года (далее - внутригодовые отчеты). </w:t>
      </w:r>
    </w:p>
    <w:p w14:paraId="78A70F39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>1.4 Задачами настоящего Стандарта являются определение общих требований к:</w:t>
      </w:r>
    </w:p>
    <w:p w14:paraId="669A26F1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 - форме, структуре и содержанию отчетов о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14:paraId="7A48E09B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- организации работы по подготовке отчетов о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14:paraId="4704D634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- представлению документов и материалов для формирования отчетов о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14:paraId="01238D9A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- определению порядка утверждения отчетов о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14:paraId="1BB1F78B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1.5. Сферой применения Стандарта является публичная деятельность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округа, основанная на принципах независимости, объективности и гласности. </w:t>
      </w:r>
    </w:p>
    <w:p w14:paraId="50DE2A91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1.6. Материалы по результатам работы направлений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готовятся на основе данных отчетов о результатах контрольных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6B5C">
        <w:rPr>
          <w:rFonts w:ascii="Times New Roman" w:hAnsi="Times New Roman" w:cs="Times New Roman"/>
          <w:sz w:val="28"/>
          <w:szCs w:val="28"/>
        </w:rPr>
        <w:t xml:space="preserve">аналитических мероприятий. </w:t>
      </w:r>
    </w:p>
    <w:p w14:paraId="72D42F37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lastRenderedPageBreak/>
        <w:t xml:space="preserve">1.7. Настоящий Стандарт является обязательным к применению должностными лицами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при подготовке и формировании отчетов о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14:paraId="7956C94D" w14:textId="11758536" w:rsidR="00A06B5C" w:rsidRP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B5C">
        <w:rPr>
          <w:rFonts w:ascii="Times New Roman" w:hAnsi="Times New Roman" w:cs="Times New Roman"/>
          <w:b/>
          <w:bCs/>
          <w:sz w:val="28"/>
          <w:szCs w:val="28"/>
        </w:rPr>
        <w:t>2. Термины и определения</w:t>
      </w:r>
    </w:p>
    <w:p w14:paraId="3ED9EC7D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Контрольное мероприятие – это организационная осуществления контрольной деятельности, посредством которой обеспечивается реализация задач, функций и полномочий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округа, которое осуществляется путем проведения проверок. </w:t>
      </w:r>
    </w:p>
    <w:p w14:paraId="771209C3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средств - нарушение, выразившееся в направлении и использовании бюджетных средств на цели, не соответствующие условиям получения указанных средств, определенным утвержденным бюджетом, бюджетной росписью, уведомлением о бюджетных ассигнованиях, сметой доходов и расходов либо иным правовым основанием их получения. </w:t>
      </w:r>
    </w:p>
    <w:p w14:paraId="420844FC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Ущерб - негативные последствия для муниципального образования в форме убытков, недополученных доходов, непредвиденных расходов, утраты, порчи имущества, недополученной выгоды, причиненные действиями (бездействием) должностных лиц и хозяйствующих субъектов. </w:t>
      </w:r>
    </w:p>
    <w:p w14:paraId="2F8F285A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– это организационная форма осуществления экспертно-аналитической деятельности, посредством которой обеспечивается реализация задач, функций и полномочий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округа, которое осуществляется путем проведения анализа, мониторинга, оценки и экспертизы. </w:t>
      </w:r>
    </w:p>
    <w:p w14:paraId="3B25EDCC" w14:textId="77777777" w:rsidR="00A06B5C" w:rsidRP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B5C">
        <w:rPr>
          <w:rFonts w:ascii="Times New Roman" w:hAnsi="Times New Roman" w:cs="Times New Roman"/>
          <w:b/>
          <w:bCs/>
          <w:sz w:val="28"/>
          <w:szCs w:val="28"/>
        </w:rPr>
        <w:t>3. Структура и формирование годового отчета</w:t>
      </w:r>
    </w:p>
    <w:p w14:paraId="2F17D5C5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 3.1 Годовой отчет содержит общие данные, характеризующие работу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в целом, и их анализ. Примерная структура годового отчета включает следующие разделы и подразделы: </w:t>
      </w:r>
    </w:p>
    <w:p w14:paraId="3F8C9339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1.Общие положения: </w:t>
      </w:r>
    </w:p>
    <w:p w14:paraId="7849BB2D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- задачи и функции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14:paraId="4560ACCD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- основные направления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в отчетном году; </w:t>
      </w:r>
    </w:p>
    <w:p w14:paraId="1BFD95F0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- основные итоги работы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в отчетном году; - реализация предложений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по итогам контрольных и экспертно-аналитических мероприятий.</w:t>
      </w:r>
    </w:p>
    <w:p w14:paraId="12C05833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 2. Основные итоги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в отчетном году. </w:t>
      </w:r>
    </w:p>
    <w:p w14:paraId="57953282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lastRenderedPageBreak/>
        <w:t xml:space="preserve">3. Экспертно-аналитическая деятельность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14:paraId="7E741310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 - финансовая экспертиза проектов нормативных правовых актов;</w:t>
      </w:r>
    </w:p>
    <w:p w14:paraId="60B9E6C9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 - организация и функционирование бюджетной системы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(организация бюджетного процесса); </w:t>
      </w:r>
    </w:p>
    <w:p w14:paraId="27320284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- законодательное регулирование и деятельность в сфере экономики и финансов, в том числе влияющие на формирование и исполнение бюджета, в рамках реализации задач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7AA9CEF2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 4. Контрольные мероприятия </w:t>
      </w:r>
    </w:p>
    <w:p w14:paraId="2891F894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5. Организационно-методическая и информационная работа </w:t>
      </w:r>
    </w:p>
    <w:p w14:paraId="4DC40FB3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- кадровое обеспечение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14:paraId="5C16C554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 - правовое обеспечение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14:paraId="55E1A858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 - организационное, документационное и методологическое обеспечение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14:paraId="33B85B01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- информирование общественности о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14:paraId="2F210C27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- взаимодействие с комиссиями Совета депутатов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14:paraId="78FB4CB7" w14:textId="5BBAFA4C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>- взаимодействие с государственными органами, органами местного самоуправления и муниципальными органами;</w:t>
      </w:r>
    </w:p>
    <w:p w14:paraId="10E461FB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 - взаимодействие с Контрольно-счетной палатой Московской области и </w:t>
      </w:r>
      <w:proofErr w:type="spellStart"/>
      <w:r w:rsidRPr="00A06B5C">
        <w:rPr>
          <w:rFonts w:ascii="Times New Roman" w:hAnsi="Times New Roman" w:cs="Times New Roman"/>
          <w:sz w:val="28"/>
          <w:szCs w:val="28"/>
        </w:rPr>
        <w:t>контрольносчетными</w:t>
      </w:r>
      <w:proofErr w:type="spellEnd"/>
      <w:r w:rsidRPr="00A06B5C">
        <w:rPr>
          <w:rFonts w:ascii="Times New Roman" w:hAnsi="Times New Roman" w:cs="Times New Roman"/>
          <w:sz w:val="28"/>
          <w:szCs w:val="28"/>
        </w:rPr>
        <w:t xml:space="preserve"> органами муниципальных образований;</w:t>
      </w:r>
    </w:p>
    <w:p w14:paraId="33C42C5A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 - информационно-технологическое обеспечение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14:paraId="25C8F3AF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- финансовое и социально-бытовое обеспечение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14:paraId="12E204A6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3.2 Основные показатели по направлениям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включают обобщенные основные показатели работы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в отчетном году: </w:t>
      </w:r>
    </w:p>
    <w:p w14:paraId="37517DBC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- основные итоги деятельности (если информация показательна и данные сопоставимы в сравнении с предыдущими отчетными периодами); </w:t>
      </w:r>
    </w:p>
    <w:p w14:paraId="6AF64553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- анализ выполнения плана работы (какие задачи ставились, какие мероприятия планировались, насколько решены поставленные задачи); </w:t>
      </w:r>
    </w:p>
    <w:p w14:paraId="6E4D78F2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проведенных контрольных мероприятий; </w:t>
      </w:r>
    </w:p>
    <w:p w14:paraId="7EF80C63" w14:textId="3BA9707F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- количество проверенных объектов; </w:t>
      </w:r>
    </w:p>
    <w:p w14:paraId="5DB674BD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- объем проверенных средств; </w:t>
      </w:r>
    </w:p>
    <w:p w14:paraId="212994AF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>- объем нарушений и анализ по видам и отраслям;</w:t>
      </w:r>
    </w:p>
    <w:p w14:paraId="69CB148D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 - незаконное, нецелевое, неэффективное использование средств бюджета муниципального образования и иные финансовые нарушения; </w:t>
      </w:r>
    </w:p>
    <w:p w14:paraId="71D0B611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>- количество экспертно-аналитических мероприятий;</w:t>
      </w:r>
    </w:p>
    <w:p w14:paraId="7CB4B253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 - количество подготовленных предложений по результатам экспертно-аналитических мероприятий, из них принято, реализовано;</w:t>
      </w:r>
    </w:p>
    <w:p w14:paraId="56060C0D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 - информация (статистическая) о представлениях и предписаниях: направлено, содержится предложений, исполнено, не исполнено и по каким причинам; </w:t>
      </w:r>
    </w:p>
    <w:p w14:paraId="180406E0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>- анализ устранения нарушений (возмещено в денежном выражении, сумма выполненных работ, услуг и др.);</w:t>
      </w:r>
    </w:p>
    <w:p w14:paraId="2720C191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 - иные меры, принимаемые по результатам контрольных мероприятий;</w:t>
      </w:r>
    </w:p>
    <w:p w14:paraId="7C7B820A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 - результаты взаимодействия с правоохранительными органами (по каким мероприятиям и сколько материалов направлено, результаты рассмотрения, количество возбужденных уголовных дел, направленных представлений прокурора города). </w:t>
      </w:r>
    </w:p>
    <w:p w14:paraId="7EDF6843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3.3 В части годового отчета, отражающей основные показатели по направлениям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округа, приводятся данные по следующим разделам:</w:t>
      </w:r>
    </w:p>
    <w:p w14:paraId="04C23DF0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 3.3.1 правовой статус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округа, численность и профессиональная подготовка сотрудников - данный раздел содержит данные о наличии статуса юридического лица, численности сотрудников, в том числе прошедших обучение по программе повышения квалификации и получившие соответствующие документы; </w:t>
      </w:r>
    </w:p>
    <w:p w14:paraId="5AB21CE7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3.3.2 контрольная деятельность - данный раздел содержит основные показатели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округа: количество проведенных проверок, охват проверками бюджетных средств и иных средств, используемых муниципальными учреждениями, виды нарушений и недостатков, допущенные участниками бюджетного процесса, меры, принимаемые по их устранению. В целях оформления отчета нарушения и недостатки, выявляемые при проведении контрольных мероприятий, сгруппированы по видам: </w:t>
      </w:r>
    </w:p>
    <w:p w14:paraId="238CCD80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lastRenderedPageBreak/>
        <w:t xml:space="preserve">- нецелевое использование бюджетных средств; </w:t>
      </w:r>
    </w:p>
    <w:p w14:paraId="017A75D7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>- неэффективное расходование бюджетных средств;</w:t>
      </w:r>
    </w:p>
    <w:p w14:paraId="02955987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 - упущенная возможность пополнения бюджета;</w:t>
      </w:r>
    </w:p>
    <w:p w14:paraId="0CC19BB5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 - нарушения бюджетного процесса;</w:t>
      </w:r>
    </w:p>
    <w:p w14:paraId="79DE0846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 - неэффективное использование муниципальной собственности; - нарушения учета и отчетности;</w:t>
      </w:r>
    </w:p>
    <w:p w14:paraId="04213676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 - прочие нарушения и недостатки. </w:t>
      </w:r>
    </w:p>
    <w:p w14:paraId="06308FAB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Суммы выявленных нарушений и возмещенных средств указываются в отчете в тысячах рублей, с точностью до первого десятичного знака. Если выявленные нарушения и недостатки не подлежат суммовой оценке, то они указываются только в количестве случаев. </w:t>
      </w:r>
    </w:p>
    <w:p w14:paraId="0F688982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3.3.3 Экспертно-аналитическая деятельность - данный раздел включает в себя информацию по количеству подготовленных аналитических справок, экспертных заключений на проекты нормативно-правовых актов органов местного самоуправления, подготовленных специалистами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14:paraId="392A3A78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3.3.4 Реализация результатов контрольных и экспертно-аналитических - данный раздел включает сведения о мерах, принятых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по итогам проведенных мероприятий, и результаты реагирования органов местного самоуправления и должностных лиц проверенных организаций. </w:t>
      </w:r>
    </w:p>
    <w:p w14:paraId="5DBD40EF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3.3.5 Гласность - в данном разделе отражается общее количество информационных материалов о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в печатных СМИ. </w:t>
      </w:r>
    </w:p>
    <w:p w14:paraId="4A59C5BA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3.3.6 Финансовое обеспечение деятельности - в данном разделе отражается объем средств на содержание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14:paraId="38108FD8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3.4 Годовой отчет о работе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одновременно формируется в электронной форме с использованием Ведомственной информационной системы Контрольно-счетной палаты Московской области (далее - ВИС КСП МО) путем автоматизированного выбора и свода данных о результатах контрольных,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6B5C">
        <w:rPr>
          <w:rFonts w:ascii="Times New Roman" w:hAnsi="Times New Roman" w:cs="Times New Roman"/>
          <w:sz w:val="28"/>
          <w:szCs w:val="28"/>
        </w:rPr>
        <w:t xml:space="preserve">аналитических и иных мероприятиях, вносимых должностными лицами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14:paraId="1FFEEC29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3.5 К годовому отчету о работе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прикладываются табличные формы, сформированные с использованием ВИС КСП МО. </w:t>
      </w:r>
    </w:p>
    <w:p w14:paraId="3826849E" w14:textId="77777777" w:rsid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31483" w14:textId="5597B5CE" w:rsidR="00A06B5C" w:rsidRP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B5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Структура и формирование внутригодовых отчетов</w:t>
      </w:r>
    </w:p>
    <w:p w14:paraId="611A32BE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4.1 Внутригодовые отчеты о работе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представляют собой обобщенные основные показатели работы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по направлениям деятельности и формируются с использованием ВИС КСП МО. </w:t>
      </w:r>
    </w:p>
    <w:p w14:paraId="7E8D13CE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4.2 Учет количества проведенных экспертно-аналитических мероприятий осуществляется по количеству заключений и отчетов, составленных по их результатам. Учет количества проверок осуществляется по количеству актов. Контрольные и экспертно-аналитические мероприятия учитываются раздельно. </w:t>
      </w:r>
    </w:p>
    <w:p w14:paraId="2F2810B1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4.3 Если проведение проверки годовой бюджетной отчетности каждого главного администратора бюджетных средств оформляется отдельным распоряжением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округа, то количество проверок считается по количеству распоряжений. Количество объектов, охваченных контрольными мероприятиями, определяется количеством составленных актов по каждому контрольному мероприятию. </w:t>
      </w:r>
    </w:p>
    <w:p w14:paraId="5A0750B5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4.4 В годовых отчетах приводятся данные только по завершенным контрольным и экспертно-аналитическим мероприятиям. При определении количества проверенных объектов в качестве объекта проверки учитывается организация, в которой в отчетном периоде были проведены контрольные мероприятия и по их результатам составлен акт. Если проведено несколько контрольных мероприятий на одном объекте в течение отчетного периода, то объект учитывается один раз. </w:t>
      </w:r>
    </w:p>
    <w:p w14:paraId="2EEB2CB1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4.5 Информация о выявленном нецелевом, незаконном использовании средств бюджета и иных финансовых нарушениях включается в годовой отчет о деятельности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на основании утвержденных отчетов о результатах контрольных мероприятий. </w:t>
      </w:r>
    </w:p>
    <w:p w14:paraId="1909D68A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4.6 Текстовая часть годового отчета может содержать диаграммы, графики и фотоматериалы. </w:t>
      </w:r>
    </w:p>
    <w:p w14:paraId="02D13949" w14:textId="77777777" w:rsidR="00A06B5C" w:rsidRPr="00A06B5C" w:rsidRDefault="00A06B5C" w:rsidP="00A06B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B5C">
        <w:rPr>
          <w:rFonts w:ascii="Times New Roman" w:hAnsi="Times New Roman" w:cs="Times New Roman"/>
          <w:b/>
          <w:bCs/>
          <w:sz w:val="28"/>
          <w:szCs w:val="28"/>
        </w:rPr>
        <w:t>5. Порядок утверждения отчетов</w:t>
      </w:r>
    </w:p>
    <w:p w14:paraId="277BB5A7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 5.1 Внутригодовые отчеты подписываются председателем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с использованием электронной цифровой подписи и передаются в Контрольно-счетную палату Московской области не позднее 5 числа месяца, следующего за отчетным периодом, а за четвертый квартал не позднее 25 числа месяца, следующего за отчетным периодом. </w:t>
      </w:r>
    </w:p>
    <w:p w14:paraId="72F0F76B" w14:textId="77777777" w:rsid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lastRenderedPageBreak/>
        <w:t xml:space="preserve">5.2 Годовой отчет утверждается председателем КСП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и вносится на рассмотрение Совета депутатов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 вместе с заключением на отчет об исполнении бюджета. </w:t>
      </w:r>
    </w:p>
    <w:p w14:paraId="6CEA0982" w14:textId="4FF48722" w:rsidR="007A48A6" w:rsidRPr="00A06B5C" w:rsidRDefault="00A06B5C" w:rsidP="00A06B5C">
      <w:pPr>
        <w:jc w:val="both"/>
        <w:rPr>
          <w:rFonts w:ascii="Times New Roman" w:hAnsi="Times New Roman" w:cs="Times New Roman"/>
          <w:sz w:val="28"/>
          <w:szCs w:val="28"/>
        </w:rPr>
      </w:pPr>
      <w:r w:rsidRPr="00A06B5C">
        <w:rPr>
          <w:rFonts w:ascii="Times New Roman" w:hAnsi="Times New Roman" w:cs="Times New Roman"/>
          <w:sz w:val="28"/>
          <w:szCs w:val="28"/>
        </w:rPr>
        <w:t xml:space="preserve">5.3 Годовой отчет, рассмотренный Советом депутатов </w:t>
      </w:r>
      <w:r>
        <w:rPr>
          <w:rFonts w:ascii="Times New Roman" w:hAnsi="Times New Roman" w:cs="Times New Roman"/>
          <w:sz w:val="28"/>
          <w:szCs w:val="28"/>
        </w:rPr>
        <w:t>Раменского</w:t>
      </w:r>
      <w:r w:rsidRPr="00A06B5C">
        <w:rPr>
          <w:rFonts w:ascii="Times New Roman" w:hAnsi="Times New Roman" w:cs="Times New Roman"/>
          <w:sz w:val="28"/>
          <w:szCs w:val="28"/>
        </w:rPr>
        <w:t xml:space="preserve"> городского округа, подлежит опубликованию в средствах массовой информации и размещается в сети Интернет.</w:t>
      </w:r>
    </w:p>
    <w:sectPr w:rsidR="007A48A6" w:rsidRPr="00A0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A6"/>
    <w:rsid w:val="007A48A6"/>
    <w:rsid w:val="00A06B5C"/>
    <w:rsid w:val="00A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363A"/>
  <w15:chartTrackingRefBased/>
  <w15:docId w15:val="{867919CA-F9E8-4321-96BD-D85F2337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2</cp:revision>
  <dcterms:created xsi:type="dcterms:W3CDTF">2023-07-11T12:26:00Z</dcterms:created>
  <dcterms:modified xsi:type="dcterms:W3CDTF">2023-07-11T12:26:00Z</dcterms:modified>
</cp:coreProperties>
</file>