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left" w:pos="426" w:leader="none"/>
          <w:tab w:val="right" w:pos="9355" w:leader="none"/>
        </w:tabs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426" w:leader="none"/>
          <w:tab w:val="right" w:pos="9355" w:leader="none"/>
        </w:tabs>
        <w:ind w:left="-284" w:hang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Сведения о вынесенном представлении в отношении </w:t>
        <w:br/>
        <w:t>МАУ Многофункциональный центр предоставления государственных и муниципальных услуг Раменского городского округа Московской области</w:t>
      </w:r>
    </w:p>
    <w:p>
      <w:pPr>
        <w:pStyle w:val="Normal"/>
        <w:tabs>
          <w:tab w:val="left" w:pos="426" w:leader="none"/>
          <w:tab w:val="right" w:pos="9355" w:leader="none"/>
        </w:tabs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426" w:leader="none"/>
          <w:tab w:val="right" w:pos="9355" w:leader="none"/>
        </w:tabs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tabs>
          <w:tab w:val="left" w:pos="426" w:leader="none"/>
          <w:tab w:val="right" w:pos="9355" w:leader="none"/>
        </w:tabs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Планом работы Контрольно-счетной палаты Раменского городского округа на 2022 год и на основании </w:t>
      </w:r>
      <w:bookmarkStart w:id="0" w:name="_Hlk26274171"/>
      <w:r>
        <w:rPr>
          <w:sz w:val="28"/>
          <w:szCs w:val="28"/>
        </w:rPr>
        <w:t xml:space="preserve">Распоряжения </w:t>
      </w:r>
      <w:bookmarkEnd w:id="0"/>
      <w:r>
        <w:rPr>
          <w:sz w:val="28"/>
          <w:szCs w:val="28"/>
        </w:rPr>
        <w:t xml:space="preserve">Председателя Контрольно-счетной палаты Раменского городского округа от 30.05.2022 года №39 «О проверке финансово-хозяйственной деятельности и аудита в сфере закупок в МАУ «Многофункциональный центр предоставления государственных и муниципальных услуг Раменского городского округа Московской области» проведено контрольное мероприятие </w:t>
      </w:r>
      <w:r>
        <w:rPr>
          <w:bCs/>
          <w:sz w:val="28"/>
          <w:szCs w:val="28"/>
        </w:rPr>
        <w:t xml:space="preserve">проверка финансово-хозяйственной деятельности и аудит в сфере закупок товаров, работ и услуг в </w:t>
      </w:r>
      <w:r>
        <w:rPr>
          <w:sz w:val="28"/>
          <w:szCs w:val="28"/>
        </w:rPr>
        <w:t xml:space="preserve">Муниципальном </w:t>
      </w:r>
      <w:r>
        <w:rPr>
          <w:bCs/>
          <w:sz w:val="28"/>
          <w:szCs w:val="28"/>
        </w:rPr>
        <w:t xml:space="preserve">автономном учреждении </w:t>
      </w:r>
      <w:bookmarkStart w:id="1" w:name="_Hlk54783150"/>
      <w:bookmarkEnd w:id="1"/>
      <w:r>
        <w:rPr>
          <w:sz w:val="28"/>
          <w:szCs w:val="28"/>
        </w:rPr>
        <w:t>«Многофункциональный центр предоставления государственных и муниципальных услуг Раменского городского округа Московской области».</w:t>
      </w:r>
    </w:p>
    <w:p>
      <w:pPr>
        <w:pStyle w:val="ListParagraph"/>
        <w:tabs>
          <w:tab w:val="left" w:pos="1134" w:leader="none"/>
        </w:tabs>
        <w:spacing w:before="0" w:after="24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контрольного мероприятия установлено:</w:t>
      </w:r>
    </w:p>
    <w:p>
      <w:pPr>
        <w:pStyle w:val="ListParagraph"/>
        <w:numPr>
          <w:ilvl w:val="0"/>
          <w:numId w:val="2"/>
        </w:numPr>
        <w:tabs>
          <w:tab w:val="left" w:pos="567" w:leader="none"/>
        </w:tabs>
        <w:ind w:left="-284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  статей    57,  68,  69, 72, 91, 128,  136  Трудового Кодекса РФ. </w:t>
      </w:r>
    </w:p>
    <w:p>
      <w:pPr>
        <w:pStyle w:val="ListParagraph"/>
        <w:numPr>
          <w:ilvl w:val="0"/>
          <w:numId w:val="2"/>
        </w:numPr>
        <w:tabs>
          <w:tab w:val="left" w:pos="8647" w:leader="none"/>
        </w:tabs>
        <w:ind w:left="567" w:right="283" w:hanging="425"/>
        <w:jc w:val="both"/>
        <w:rPr>
          <w:sz w:val="28"/>
          <w:szCs w:val="28"/>
        </w:rPr>
      </w:pPr>
      <w:r>
        <w:rPr>
          <w:sz w:val="28"/>
          <w:szCs w:val="28"/>
        </w:rPr>
        <w:t>Нарушение   статей 78.1, 219, 306.4 Бюджетного кодекса РФ.</w:t>
      </w:r>
    </w:p>
    <w:p>
      <w:pPr>
        <w:pStyle w:val="ListParagraph"/>
        <w:numPr>
          <w:ilvl w:val="0"/>
          <w:numId w:val="2"/>
        </w:numPr>
        <w:tabs>
          <w:tab w:val="left" w:pos="567" w:leader="none"/>
        </w:tabs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Нарушение норм Федерального  закона  №223-ФЗ  «О закупках  товаров, работ, услуг отдельными видами юридических лиц».</w:t>
      </w:r>
    </w:p>
    <w:p>
      <w:pPr>
        <w:pStyle w:val="ListParagraph"/>
        <w:numPr>
          <w:ilvl w:val="0"/>
          <w:numId w:val="2"/>
        </w:numPr>
        <w:tabs>
          <w:tab w:val="left" w:pos="567" w:leader="none"/>
        </w:tabs>
        <w:ind w:left="-284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статей 7, 8, 9, 10, 11, 13 Федерального закона от 06.12.2011года №402-ФЗ «О бухгалтерском учете».</w:t>
      </w:r>
    </w:p>
    <w:p>
      <w:pPr>
        <w:pStyle w:val="ListParagraph"/>
        <w:widowControl w:val="false"/>
        <w:numPr>
          <w:ilvl w:val="0"/>
          <w:numId w:val="2"/>
        </w:numPr>
        <w:ind w:left="-284" w:right="-1" w:firstLine="426"/>
        <w:jc w:val="both"/>
        <w:textAlignment w:val="baseline"/>
        <w:rPr>
          <w:sz w:val="28"/>
          <w:lang w:eastAsia="ru-RU"/>
        </w:rPr>
      </w:pPr>
      <w:r>
        <w:rPr>
          <w:sz w:val="28"/>
          <w:lang w:eastAsia="ru-RU"/>
        </w:rPr>
        <w:t>Нарушение Приказа Минфина РФ от 01.12.2010 года №157н «Инструкция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учреждений».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ind w:left="-284" w:right="-1" w:firstLine="426"/>
        <w:jc w:val="both"/>
        <w:textAlignment w:val="baseline"/>
        <w:rPr>
          <w:color w:val="000000"/>
        </w:rPr>
      </w:pPr>
      <w:r>
        <w:rPr>
          <w:sz w:val="28"/>
          <w:szCs w:val="28"/>
          <w:lang w:eastAsia="ru-RU"/>
        </w:rPr>
        <w:t xml:space="preserve">Нарушение Приказа Минфина РФ </w:t>
      </w:r>
      <w:r>
        <w:rPr>
          <w:sz w:val="28"/>
          <w:lang w:eastAsia="ru-RU"/>
        </w:rPr>
        <w:t>от 23.12.2010 года №183н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«Об утверждении Плана счетов бухгалтерского учета автономных учреждений и Инструкции по его применению».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ind w:left="-284" w:right="-1" w:firstLine="426"/>
        <w:jc w:val="both"/>
        <w:textAlignment w:val="baseline"/>
        <w:rPr>
          <w:color w:val="000000"/>
        </w:rPr>
      </w:pPr>
      <w:r>
        <w:rPr>
          <w:sz w:val="28"/>
          <w:szCs w:val="28"/>
        </w:rPr>
        <w:t>Нарушение Приказа Минфина РФ от 25 марта 2011 года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>
      <w:pPr>
        <w:pStyle w:val="Default"/>
        <w:numPr>
          <w:ilvl w:val="0"/>
          <w:numId w:val="2"/>
        </w:numPr>
        <w:ind w:left="-284" w:firstLine="426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Нарушение </w:t>
      </w:r>
      <w:r>
        <w:rPr>
          <w:sz w:val="28"/>
          <w:szCs w:val="28"/>
        </w:rPr>
        <w:t xml:space="preserve">Постановления Администрации Раменского городского округа Московской области от 27.12.2019 года №2128 </w:t>
      </w:r>
      <w:r>
        <w:rPr>
          <w:color w:val="00000A"/>
          <w:sz w:val="28"/>
          <w:szCs w:val="28"/>
        </w:rPr>
        <w:t xml:space="preserve">«О Порядке </w:t>
      </w:r>
      <w:r>
        <w:rPr>
          <w:sz w:val="28"/>
          <w:szCs w:val="28"/>
        </w:rPr>
        <w:t>формирования муниципального задания на оказание муниципальных услуг (выполнение работ) в отношении муниципальных учреждений Раменского городского округа и финансового обеспечения выполнения муниципального задания</w:t>
      </w:r>
      <w:r>
        <w:rPr>
          <w:color w:val="00000A"/>
          <w:sz w:val="28"/>
          <w:szCs w:val="28"/>
        </w:rPr>
        <w:t>».</w:t>
      </w:r>
    </w:p>
    <w:p>
      <w:pPr>
        <w:pStyle w:val="Default"/>
        <w:numPr>
          <w:ilvl w:val="0"/>
          <w:numId w:val="2"/>
        </w:numPr>
        <w:ind w:left="-284" w:firstLine="426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Нарушение </w:t>
      </w:r>
      <w:r>
        <w:rPr>
          <w:sz w:val="28"/>
          <w:szCs w:val="28"/>
        </w:rPr>
        <w:t xml:space="preserve">Постановления Администрации Раменского городского округа Московской области от 27.12.2019 года №2127 </w:t>
      </w:r>
      <w:r>
        <w:rPr>
          <w:color w:val="00000A"/>
          <w:sz w:val="28"/>
          <w:szCs w:val="28"/>
        </w:rPr>
        <w:t>«О Порядке определения нормативных затрат на оказание муниципальными учреждениями</w:t>
      </w:r>
      <w:r>
        <w:rPr>
          <w:sz w:val="28"/>
          <w:szCs w:val="28"/>
        </w:rPr>
        <w:t xml:space="preserve"> Раменского городского округа муниципальных услуг (выполнение работ)».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ind w:left="-284" w:right="-1"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Нарушение </w:t>
      </w:r>
      <w:r>
        <w:rPr>
          <w:rFonts w:eastAsia="Calibri"/>
          <w:sz w:val="28"/>
          <w:szCs w:val="28"/>
        </w:rPr>
        <w:t xml:space="preserve">Постановления Администрации Раменского городского округа от 31.12.2019 года №2344 </w:t>
      </w:r>
      <w:r>
        <w:rPr>
          <w:sz w:val="28"/>
          <w:szCs w:val="28"/>
        </w:rPr>
        <w:t xml:space="preserve">«Об утверждении Порядка </w:t>
      </w:r>
      <w:r>
        <w:rPr>
          <w:rFonts w:eastAsia="Calibri"/>
          <w:sz w:val="28"/>
          <w:szCs w:val="28"/>
        </w:rPr>
        <w:t>составления и утверждения плана финансово-хозяйственной деятельности муниципальных бюджетных и автономных учреждений Раменского городского округа</w:t>
      </w:r>
      <w:r>
        <w:rPr>
          <w:sz w:val="28"/>
          <w:szCs w:val="28"/>
        </w:rPr>
        <w:t>».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ind w:left="-284" w:right="-1" w:firstLine="426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shd w:fill="FFFFFF" w:val="clear"/>
        </w:rPr>
        <w:t>Нарушение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tabs>
          <w:tab w:val="left" w:pos="142" w:leader="none"/>
        </w:tabs>
        <w:ind w:left="-284" w:right="-1" w:firstLine="426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 пунктов 48, 54 </w:t>
      </w:r>
      <w:r>
        <w:rPr>
          <w:sz w:val="28"/>
          <w:szCs w:val="28"/>
        </w:rPr>
        <w:t>Федерального стандарта «Доходы» утвержденного Приказом Минфина России от 27.02.2018 года №32н.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ind w:left="-284" w:right="-1" w:firstLine="426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 пункта 7 </w:t>
      </w:r>
      <w:r>
        <w:rPr>
          <w:sz w:val="28"/>
          <w:szCs w:val="28"/>
        </w:rPr>
        <w:t>Федерального стандарта «</w:t>
      </w:r>
      <w:r>
        <w:rPr>
          <w:rFonts w:eastAsia="" w:eastAsiaTheme="minorEastAsia"/>
          <w:sz w:val="28"/>
          <w:szCs w:val="28"/>
        </w:rPr>
        <w:t>Учетная политика, оценочные значения и ошибки</w:t>
      </w:r>
      <w:r>
        <w:rPr>
          <w:sz w:val="28"/>
          <w:szCs w:val="28"/>
        </w:rPr>
        <w:t>» утвержденного Приказом Минфина России от 30.12.2017 года №274н.</w:t>
      </w:r>
    </w:p>
    <w:p>
      <w:pPr>
        <w:pStyle w:val="ListParagraph"/>
        <w:numPr>
          <w:ilvl w:val="0"/>
          <w:numId w:val="2"/>
        </w:numPr>
        <w:tabs>
          <w:tab w:val="left" w:pos="567" w:leader="none"/>
        </w:tabs>
        <w:ind w:left="-284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Нарушение статьи  32 Федерального закона от </w:t>
      </w:r>
      <w:r>
        <w:rPr>
          <w:color w:val="00000A"/>
          <w:sz w:val="28"/>
          <w:szCs w:val="28"/>
        </w:rPr>
        <w:t xml:space="preserve">12.01.1996 года №7-ФЗ </w:t>
      </w:r>
      <w:bookmarkStart w:id="2" w:name="_Hlk26804843"/>
      <w:bookmarkEnd w:id="2"/>
      <w:r>
        <w:rPr>
          <w:sz w:val="28"/>
          <w:szCs w:val="28"/>
        </w:rPr>
        <w:t>«О некоммерческих организациях».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ind w:left="-284" w:right="-1"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Нарушение Приказа Минтранса РФ от 18 сентября 2008 года № 152 «Об утверждении обязательных реквизитов и порядка заполнения путевых листов».</w:t>
      </w:r>
    </w:p>
    <w:p>
      <w:pPr>
        <w:pStyle w:val="ListParagraph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Установлены неэффективные расходы по оплате </w:t>
      </w:r>
      <w:r>
        <w:rPr>
          <w:sz w:val="28"/>
          <w:szCs w:val="28"/>
          <w:shd w:fill="FFFFFF" w:val="clear"/>
          <w:lang w:eastAsia="ru-RU"/>
        </w:rPr>
        <w:t>клиринговых</w:t>
      </w:r>
      <w:r>
        <w:rPr>
          <w:sz w:val="28"/>
          <w:szCs w:val="28"/>
        </w:rPr>
        <w:t xml:space="preserve"> услуг в сумме </w:t>
      </w:r>
      <w:bookmarkStart w:id="3" w:name="_Hlk45616749"/>
      <w:r>
        <w:rPr>
          <w:sz w:val="28"/>
          <w:szCs w:val="28"/>
          <w:shd w:fill="FFFFFF" w:val="clear"/>
          <w:lang w:eastAsia="ru-RU"/>
        </w:rPr>
        <w:t xml:space="preserve">2 838 668,04  </w:t>
      </w:r>
      <w:bookmarkEnd w:id="3"/>
      <w:r>
        <w:rPr>
          <w:sz w:val="28"/>
          <w:szCs w:val="28"/>
        </w:rPr>
        <w:t>рублей.</w:t>
      </w:r>
    </w:p>
    <w:p>
      <w:pPr>
        <w:pStyle w:val="ListParagraph"/>
        <w:tabs>
          <w:tab w:val="left" w:pos="8647" w:leader="none"/>
        </w:tabs>
        <w:ind w:left="-284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 и на основании статьи 16 Федерального закона №6-ФЗ «Об общих принципах организации и деятельности контрольно-счетных органов субъектов Российской Федерации и муниципальных образований» и Положения о Контрольно-счетной палаты Раменского городского округа предлагается: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Привести в соответствие с законодательством РФ Учетную политику  для целей бюджетного учета.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ind w:left="-284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Усилить контроль над </w:t>
      </w:r>
      <w:r>
        <w:rPr>
          <w:sz w:val="28"/>
          <w:szCs w:val="28"/>
        </w:rPr>
        <w:t>формированием и финансовым обеспечением муниципального задания.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при расчете и утверждении объемов нормативных затрат на выполнение муниципального задания.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над  формированием  Плана финансово-хозяйственной деятельности Учреждения.</w:t>
      </w:r>
    </w:p>
    <w:p>
      <w:pPr>
        <w:pStyle w:val="ListParagraph"/>
        <w:numPr>
          <w:ilvl w:val="0"/>
          <w:numId w:val="1"/>
        </w:numPr>
        <w:tabs>
          <w:tab w:val="left" w:pos="426" w:leader="none"/>
        </w:tabs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Принять меры по возмещению денежных средств, в сумме 1 393,00 рублей, образовавшейся вследствие  нецелевого использования бюджетных средств, при планировании расходов в Плане ФХД. 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над составлением бюджетной отчетности.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ind w:left="-284" w:firstLine="426"/>
        <w:jc w:val="both"/>
        <w:rPr/>
      </w:pPr>
      <w:r>
        <w:rPr>
          <w:sz w:val="28"/>
          <w:szCs w:val="28"/>
        </w:rPr>
        <w:t xml:space="preserve">Усилить контроль за полным и своевременным размещением необходимой информации на официальном сайте в сети Интернет </w:t>
      </w:r>
      <w:hyperlink r:id="rId2">
        <w:r>
          <w:rPr>
            <w:rStyle w:val="Style12"/>
            <w:rFonts w:eastAsia="" w:eastAsiaTheme="majorEastAsia"/>
            <w:color w:val="00000A"/>
            <w:sz w:val="28"/>
            <w:szCs w:val="28"/>
          </w:rPr>
          <w:t>www.bus.gov.ru</w:t>
        </w:r>
      </w:hyperlink>
      <w:r>
        <w:rPr>
          <w:rFonts w:eastAsia="" w:eastAsiaTheme="majorEastAsia"/>
          <w:color w:val="00000A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ind w:left="-284" w:firstLine="426"/>
        <w:jc w:val="both"/>
        <w:rPr>
          <w:color w:val="00000A"/>
          <w:sz w:val="28"/>
          <w:szCs w:val="28"/>
          <w:u w:val="none"/>
        </w:rPr>
      </w:pPr>
      <w:r>
        <w:rPr>
          <w:sz w:val="28"/>
          <w:szCs w:val="28"/>
        </w:rPr>
        <w:t>Принять меры по возмещению денежных средств, в сумме 340 000,00 рублей, образовавшейся вследствие  нецелевого использования бюджетных средств, при расходовании субсидии на иные цели.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Привести в соответствие с законодательством РФ учет расчетов по доходам Учреждения.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Привести в соответствие с законодательством РФ учет по санкционированию расходов, в части превышения принятия бюджетных обязательств и денежных обязательств, а также в части сроков  постановки на учет денежных обязательств.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при заключении договоров с поставщиками и подрядчиками.</w:t>
      </w:r>
    </w:p>
    <w:p>
      <w:pPr>
        <w:pStyle w:val="ListParagraph"/>
        <w:numPr>
          <w:ilvl w:val="0"/>
          <w:numId w:val="1"/>
        </w:numPr>
        <w:suppressAutoHyphens w:val="false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при ведении учета в бухгалтерских книгах первичной документации и их хронологической записи.</w:t>
      </w:r>
    </w:p>
    <w:p>
      <w:pPr>
        <w:pStyle w:val="ListParagraph"/>
        <w:numPr>
          <w:ilvl w:val="0"/>
          <w:numId w:val="1"/>
        </w:numPr>
        <w:suppressAutoHyphens w:val="false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возмещению денежных средств, в сумме </w:t>
      </w:r>
      <w:r>
        <w:rPr>
          <w:bCs/>
          <w:sz w:val="28"/>
          <w:szCs w:val="28"/>
        </w:rPr>
        <w:t xml:space="preserve">224 132,74 </w:t>
      </w:r>
      <w:r>
        <w:rPr>
          <w:sz w:val="28"/>
          <w:szCs w:val="28"/>
        </w:rPr>
        <w:t xml:space="preserve">рублей, образовавшейся вследствие неправильного исчисления и переплаты зарплаты сотрудникам Учреждения. </w:t>
      </w:r>
    </w:p>
    <w:p>
      <w:pPr>
        <w:pStyle w:val="ListParagraph"/>
        <w:numPr>
          <w:ilvl w:val="0"/>
          <w:numId w:val="1"/>
        </w:numPr>
        <w:suppressAutoHyphens w:val="false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Начислить и выплатить сотрудникам Учреждения недоплаченное денежное содержание в сумме </w:t>
      </w:r>
      <w:r>
        <w:rPr>
          <w:bCs/>
          <w:sz w:val="28"/>
          <w:szCs w:val="28"/>
        </w:rPr>
        <w:t xml:space="preserve">305 434,28 </w:t>
      </w:r>
      <w:r>
        <w:rPr>
          <w:sz w:val="28"/>
          <w:szCs w:val="28"/>
        </w:rPr>
        <w:t>рублей.</w:t>
      </w:r>
    </w:p>
    <w:p>
      <w:pPr>
        <w:pStyle w:val="ListParagraph"/>
        <w:numPr>
          <w:ilvl w:val="0"/>
          <w:numId w:val="1"/>
        </w:numPr>
        <w:tabs>
          <w:tab w:val="left" w:pos="142" w:leader="none"/>
        </w:tabs>
        <w:suppressAutoHyphens w:val="false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в соответствие с законодательством РФ локальные нормативные акты Учреждения, связанные с организацией работы и оплаты труда сотрудников организации. </w:t>
      </w:r>
    </w:p>
    <w:p>
      <w:pPr>
        <w:pStyle w:val="ListParagraph"/>
        <w:numPr>
          <w:ilvl w:val="0"/>
          <w:numId w:val="1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при ведении кадрового учета в Учреждении.</w:t>
      </w:r>
    </w:p>
    <w:p>
      <w:pPr>
        <w:pStyle w:val="ListParagraph"/>
        <w:numPr>
          <w:ilvl w:val="0"/>
          <w:numId w:val="1"/>
        </w:numPr>
        <w:suppressAutoHyphens w:val="false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Привести в соответствие с законодательством РФ табели учета рабочего времени.</w:t>
      </w:r>
    </w:p>
    <w:p>
      <w:pPr>
        <w:pStyle w:val="ListParagraph"/>
        <w:numPr>
          <w:ilvl w:val="0"/>
          <w:numId w:val="1"/>
        </w:numPr>
        <w:suppressAutoHyphens w:val="false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работу по разработке и утверждению нормативно-правовых актов Учреждения, связанных с трудовой деятельностью, в соответствии с нормами трудового законодательства РФ.</w:t>
      </w:r>
    </w:p>
    <w:p>
      <w:pPr>
        <w:pStyle w:val="ListParagraph"/>
        <w:numPr>
          <w:ilvl w:val="0"/>
          <w:numId w:val="1"/>
        </w:numPr>
        <w:tabs>
          <w:tab w:val="left" w:pos="142" w:leader="none"/>
          <w:tab w:val="left" w:pos="567" w:leader="none"/>
        </w:tabs>
        <w:suppressAutoHyphens w:val="false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расчет и выплату заработной платы сотрудникам Учреждения в соответствии с нормами трудового законодательства.</w:t>
      </w:r>
    </w:p>
    <w:p>
      <w:pPr>
        <w:pStyle w:val="ListParagraph"/>
        <w:numPr>
          <w:ilvl w:val="0"/>
          <w:numId w:val="1"/>
        </w:numPr>
        <w:tabs>
          <w:tab w:val="left" w:pos="142" w:leader="none"/>
          <w:tab w:val="left" w:pos="567" w:leader="none"/>
        </w:tabs>
        <w:suppressAutoHyphens w:val="false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Привести в соответствие с требованиями законодательства РФ учет ГСМ, в части ведения учета денежных документов и оформления путевых листов в Учреждении.</w:t>
      </w:r>
    </w:p>
    <w:p>
      <w:pPr>
        <w:pStyle w:val="ListParagraph"/>
        <w:numPr>
          <w:ilvl w:val="0"/>
          <w:numId w:val="1"/>
        </w:numPr>
        <w:tabs>
          <w:tab w:val="left" w:pos="142" w:leader="none"/>
          <w:tab w:val="left" w:pos="567" w:leader="none"/>
        </w:tabs>
        <w:suppressAutoHyphens w:val="false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в соответствие с законодательством РФ </w:t>
      </w:r>
      <w:r>
        <w:rPr>
          <w:iCs/>
          <w:sz w:val="28"/>
          <w:szCs w:val="28"/>
        </w:rPr>
        <w:t>использование муниципальной собственности.</w:t>
      </w:r>
    </w:p>
    <w:p>
      <w:pPr>
        <w:pStyle w:val="ListParagraph"/>
        <w:numPr>
          <w:ilvl w:val="0"/>
          <w:numId w:val="1"/>
        </w:numPr>
        <w:tabs>
          <w:tab w:val="left" w:pos="142" w:leader="none"/>
          <w:tab w:val="left" w:pos="567" w:leader="none"/>
        </w:tabs>
        <w:suppressAutoHyphens w:val="false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над расходованием полученных денежных средств от приносящей доход деятельности.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uppressAutoHyphens w:val="false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контроль:</w:t>
      </w:r>
    </w:p>
    <w:p>
      <w:pPr>
        <w:pStyle w:val="ListParagraph"/>
        <w:numPr>
          <w:ilvl w:val="0"/>
          <w:numId w:val="3"/>
        </w:numPr>
        <w:tabs>
          <w:tab w:val="left" w:pos="709" w:leader="none"/>
        </w:tabs>
        <w:suppressAutoHyphens w:val="false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  планировании закупок, в части размещения Плана закупок;</w:t>
      </w:r>
    </w:p>
    <w:p>
      <w:pPr>
        <w:pStyle w:val="ListParagraph"/>
        <w:numPr>
          <w:ilvl w:val="0"/>
          <w:numId w:val="3"/>
        </w:numPr>
        <w:tabs>
          <w:tab w:val="left" w:pos="709" w:leader="none"/>
        </w:tabs>
        <w:suppressAutoHyphens w:val="false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за соответствием способа определения поставщика нормам Положения о закупках;</w:t>
      </w:r>
    </w:p>
    <w:p>
      <w:pPr>
        <w:pStyle w:val="ListParagraph"/>
        <w:numPr>
          <w:ilvl w:val="0"/>
          <w:numId w:val="3"/>
        </w:numPr>
        <w:tabs>
          <w:tab w:val="left" w:pos="709" w:leader="none"/>
        </w:tabs>
        <w:suppressAutoHyphens w:val="false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за содержанием договоров;</w:t>
      </w:r>
    </w:p>
    <w:p>
      <w:pPr>
        <w:pStyle w:val="ListParagraph"/>
        <w:numPr>
          <w:ilvl w:val="0"/>
          <w:numId w:val="3"/>
        </w:numPr>
        <w:tabs>
          <w:tab w:val="left" w:pos="709" w:leader="none"/>
        </w:tabs>
        <w:suppressAutoHyphens w:val="false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за исполнением договоров, в части сроков выполнения работ и сроков оплаты;</w:t>
      </w:r>
    </w:p>
    <w:p>
      <w:pPr>
        <w:pStyle w:val="ListParagraph"/>
        <w:numPr>
          <w:ilvl w:val="0"/>
          <w:numId w:val="3"/>
        </w:numPr>
        <w:tabs>
          <w:tab w:val="left" w:pos="709" w:leader="none"/>
        </w:tabs>
        <w:suppressAutoHyphens w:val="false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за проведением экспертизы и оформлением экспертных заключений при исполнении договоров;</w:t>
      </w:r>
    </w:p>
    <w:p>
      <w:pPr>
        <w:pStyle w:val="ListParagraph"/>
        <w:numPr>
          <w:ilvl w:val="0"/>
          <w:numId w:val="3"/>
        </w:numPr>
        <w:tabs>
          <w:tab w:val="left" w:pos="709" w:leader="none"/>
        </w:tabs>
        <w:suppressAutoHyphens w:val="false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за  своевременным размещением информации в единой информационной системе в сфере закупок;</w:t>
      </w:r>
    </w:p>
    <w:p>
      <w:pPr>
        <w:pStyle w:val="ListParagraph"/>
        <w:numPr>
          <w:ilvl w:val="0"/>
          <w:numId w:val="3"/>
        </w:numPr>
        <w:tabs>
          <w:tab w:val="left" w:pos="709" w:leader="none"/>
        </w:tabs>
        <w:suppressAutoHyphens w:val="false"/>
        <w:ind w:left="-284" w:firstLine="568"/>
        <w:jc w:val="both"/>
        <w:rPr>
          <w:sz w:val="28"/>
          <w:szCs w:val="28"/>
        </w:rPr>
      </w:pPr>
      <w:r>
        <w:rPr>
          <w:sz w:val="28"/>
        </w:rPr>
        <w:t>за соблюдением принципов и основных норм Положения о закупке Учреждения.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uppressAutoHyphens w:val="false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возмещению денежных средств, в сумме 78 285,01 рублей, образовавшейся вследствие  оплаты завышенного объема работ по заключенным договорам.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uppressAutoHyphens w:val="false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Усилить финансовый контроль за целевым, эффективным и          результативным расходованием бюджетных средств.</w:t>
      </w:r>
    </w:p>
    <w:p>
      <w:pPr>
        <w:pStyle w:val="ListParagraph"/>
        <w:numPr>
          <w:ilvl w:val="0"/>
          <w:numId w:val="1"/>
        </w:num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над правильностью совершения фактов финансово-хозяйственной деятельности, организацией и ведением (бухгалтерского) бюджетного учета, составлением бюджетной отчетности и ведением кадрового делопроизводства в Учреждении.</w:t>
      </w:r>
    </w:p>
    <w:p>
      <w:pPr>
        <w:pStyle w:val="ListParagraph"/>
        <w:numPr>
          <w:ilvl w:val="0"/>
          <w:numId w:val="1"/>
        </w:num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Применить меры дисциплинарного взыскания на должностных лиц, ответственных за ведение кадрового учета, учета рабочего времени, начисления заработной платы, учета материальных ценностей и ответственных за осуществление муниципальных закупок. </w:t>
      </w:r>
    </w:p>
    <w:p>
      <w:pPr>
        <w:pStyle w:val="Normal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16 Федерального закона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 Директору МАУ «</w:t>
      </w:r>
      <w:r>
        <w:rPr>
          <w:bCs/>
          <w:sz w:val="28"/>
          <w:szCs w:val="28"/>
        </w:rPr>
        <w:t>МФЦ Раменского городского округа</w:t>
      </w:r>
      <w:r>
        <w:rPr>
          <w:sz w:val="28"/>
          <w:szCs w:val="28"/>
        </w:rPr>
        <w:t>», необходимо уведомить Контрольно-счетную палату Раменского городского округа о принятых решениях и мерах по результатам выполнения настоящего представления в письменной форме с приложением копий подтверждающих документов в течении месяца со дня получения представления.</w:t>
      </w:r>
    </w:p>
    <w:p>
      <w:pPr>
        <w:pStyle w:val="Normal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 или ненадлежащее исполнение представления Контрольно-счетной палаты влечет за собой ответственность предусмотренную частями 20 и 20.1 статьи 19.5 КоАП РФ – наложение административного штрафа на должностных лиц в размере от двадцати до пятидесяти тысяч рублей или дисквалификация от одного до двух лет.</w:t>
      </w:r>
    </w:p>
    <w:p>
      <w:pPr>
        <w:pStyle w:val="ListParagraph"/>
        <w:tabs>
          <w:tab w:val="left" w:pos="8647" w:leader="none"/>
        </w:tabs>
        <w:ind w:left="927" w:right="28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left" w:pos="8647" w:leader="none"/>
        </w:tabs>
        <w:ind w:left="927" w:right="283" w:hanging="0"/>
        <w:jc w:val="both"/>
        <w:rPr/>
      </w:pPr>
      <w:r>
        <w:rPr/>
      </w:r>
    </w:p>
    <w:sectPr>
      <w:type w:val="nextPage"/>
      <w:pgSz w:w="11906" w:h="16838"/>
      <w:pgMar w:left="1701" w:right="849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365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930" w:hanging="360"/>
      </w:pPr>
      <w:rPr>
        <w:rFonts w:ascii="Symbol" w:hAnsi="Symbol" w:cs="Symbol" w:hint="default"/>
        <w:sz w:val="28"/>
        <w:szCs w:val="24"/>
      </w:rPr>
    </w:lvl>
    <w:lvl w:ilvl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011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8c0110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Normal"/>
    <w:link w:val="20"/>
    <w:uiPriority w:val="9"/>
    <w:semiHidden/>
    <w:unhideWhenUsed/>
    <w:qFormat/>
    <w:rsid w:val="00c76179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6">
    <w:name w:val="Heading 6"/>
    <w:basedOn w:val="Normal"/>
    <w:link w:val="60"/>
    <w:qFormat/>
    <w:rsid w:val="008c0110"/>
    <w:pPr>
      <w:keepNext/>
      <w:spacing w:lineRule="auto" w:line="360"/>
      <w:jc w:val="center"/>
      <w:outlineLvl w:val="5"/>
    </w:pPr>
    <w:rPr>
      <w:b/>
      <w:sz w:val="36"/>
    </w:rPr>
  </w:style>
  <w:style w:type="paragraph" w:styleId="7">
    <w:name w:val="Heading 7"/>
    <w:basedOn w:val="Normal"/>
    <w:link w:val="70"/>
    <w:qFormat/>
    <w:rsid w:val="008c0110"/>
    <w:pPr>
      <w:keepNext/>
      <w:jc w:val="center"/>
      <w:outlineLvl w:val="6"/>
    </w:pPr>
    <w:rPr>
      <w:bCs/>
      <w:i/>
      <w:sz w:val="24"/>
    </w:rPr>
  </w:style>
  <w:style w:type="paragraph" w:styleId="8">
    <w:name w:val="Heading 8"/>
    <w:basedOn w:val="Normal"/>
    <w:link w:val="80"/>
    <w:qFormat/>
    <w:rsid w:val="008c0110"/>
    <w:pPr>
      <w:keepNext/>
      <w:jc w:val="center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c011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8c0110"/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8c0110"/>
    <w:rPr>
      <w:rFonts w:ascii="Times New Roman" w:hAnsi="Times New Roman" w:eastAsia="Times New Roman" w:cs="Times New Roman"/>
      <w:bCs/>
      <w:i/>
      <w:sz w:val="24"/>
      <w:szCs w:val="20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8c0110"/>
    <w:rPr>
      <w:rFonts w:ascii="Times New Roman" w:hAnsi="Times New Roman" w:eastAsia="Times New Roman" w:cs="Times New Roman"/>
      <w:i/>
      <w:iCs/>
      <w:sz w:val="20"/>
      <w:szCs w:val="20"/>
      <w:lang w:eastAsia="ru-RU"/>
    </w:rPr>
  </w:style>
  <w:style w:type="character" w:styleId="Style9" w:customStyle="1">
    <w:name w:val="Основной текст с отступом Знак"/>
    <w:basedOn w:val="DefaultParagraphFont"/>
    <w:link w:val="a3"/>
    <w:qFormat/>
    <w:rsid w:val="008c0110"/>
    <w:rPr>
      <w:rFonts w:ascii="Times New Roman" w:hAnsi="Times New Roman" w:eastAsia="Times New Roman" w:cs="Times New Roman"/>
      <w:spacing w:val="-20"/>
      <w:sz w:val="32"/>
      <w:szCs w:val="20"/>
      <w:lang w:eastAsia="ru-RU"/>
    </w:rPr>
  </w:style>
  <w:style w:type="character" w:styleId="Style10" w:customStyle="1">
    <w:name w:val="Основной текст Знак"/>
    <w:basedOn w:val="DefaultParagraphFont"/>
    <w:link w:val="a5"/>
    <w:uiPriority w:val="99"/>
    <w:qFormat/>
    <w:rsid w:val="009a0382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1" w:customStyle="1">
    <w:name w:val="Текст выноски Знак"/>
    <w:basedOn w:val="DefaultParagraphFont"/>
    <w:link w:val="a8"/>
    <w:uiPriority w:val="99"/>
    <w:semiHidden/>
    <w:qFormat/>
    <w:rsid w:val="00712739"/>
    <w:rPr>
      <w:rFonts w:ascii="Segoe UI" w:hAnsi="Segoe UI" w:eastAsia="Times New Roman" w:cs="Segoe UI"/>
      <w:sz w:val="18"/>
      <w:szCs w:val="1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c7617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eastAsia="ru-RU"/>
    </w:rPr>
  </w:style>
  <w:style w:type="character" w:styleId="Style12">
    <w:name w:val="Интернет-ссылка"/>
    <w:basedOn w:val="DefaultParagraphFont"/>
    <w:uiPriority w:val="99"/>
    <w:unhideWhenUsed/>
    <w:qFormat/>
    <w:rsid w:val="00c05c07"/>
    <w:rPr>
      <w:color w:val="0563C1" w:themeColor="hyperlink"/>
      <w:u w:val="single"/>
    </w:rPr>
  </w:style>
  <w:style w:type="character" w:styleId="Blk" w:customStyle="1">
    <w:name w:val="blk"/>
    <w:basedOn w:val="DefaultParagraphFont"/>
    <w:qFormat/>
    <w:rsid w:val="00c05c07"/>
    <w:rPr/>
  </w:style>
  <w:style w:type="character" w:styleId="Strong">
    <w:name w:val="Strong"/>
    <w:basedOn w:val="DefaultParagraphFont"/>
    <w:uiPriority w:val="22"/>
    <w:qFormat/>
    <w:rsid w:val="00a71c79"/>
    <w:rPr>
      <w:b/>
      <w:bCs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sz w:val="28"/>
      <w:szCs w:val="24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sz w:val="24"/>
      <w:szCs w:val="24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4">
    <w:name w:val="Body Text"/>
    <w:basedOn w:val="Normal"/>
    <w:link w:val="a6"/>
    <w:uiPriority w:val="99"/>
    <w:unhideWhenUsed/>
    <w:rsid w:val="009a0382"/>
    <w:pPr>
      <w:suppressAutoHyphens w:val="true"/>
      <w:spacing w:before="0" w:after="120"/>
    </w:pPr>
    <w:rPr>
      <w:lang w:eastAsia="ar-SA"/>
    </w:rPr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/>
  </w:style>
  <w:style w:type="paragraph" w:styleId="Style18">
    <w:name w:val="Body Text Indent"/>
    <w:basedOn w:val="Normal"/>
    <w:link w:val="a4"/>
    <w:rsid w:val="008c0110"/>
    <w:pPr>
      <w:spacing w:lineRule="auto" w:line="480"/>
      <w:ind w:firstLine="720"/>
      <w:jc w:val="both"/>
    </w:pPr>
    <w:rPr>
      <w:spacing w:val="-20"/>
      <w:sz w:val="32"/>
    </w:rPr>
  </w:style>
  <w:style w:type="paragraph" w:styleId="Default" w:customStyle="1">
    <w:name w:val="Default"/>
    <w:qFormat/>
    <w:rsid w:val="009a038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a0382"/>
    <w:pPr>
      <w:suppressAutoHyphens w:val="true"/>
      <w:spacing w:before="0" w:after="0"/>
      <w:ind w:left="720" w:hanging="0"/>
      <w:contextualSpacing/>
    </w:pPr>
    <w:rPr>
      <w:lang w:eastAsia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71273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us.gov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LibreOffice/5.4.0.3$MacOSX_X86_64 LibreOffice_project/7556cbc6811c9d992f4064ab9287069087d7f62c</Application>
  <Pages>3</Pages>
  <Words>1103</Words>
  <Characters>7961</Characters>
  <CharactersWithSpaces>9007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2022-11-14T12:07:00Z</dcterms:created>
  <dc:creator>user</dc:creator>
  <dc:description/>
  <dc:language>ru-RU</dc:language>
  <cp:lastModifiedBy>P02U06</cp:lastModifiedBy>
  <cp:lastPrinted>2021-09-10T08:09:00Z</cp:lastPrinted>
  <dcterms:modified xsi:type="dcterms:W3CDTF">2022-11-14T12:14:00Z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