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Сведения о заседаниях Комиссии по соблюдению требований к служебному поведению муниципальных служащих и урегулированию конфликтов интересов в Контрольно-счетной палате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Раменского городского округа в 2022 году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Обращения в Комиссию, являющиеся основанием для проведения заседания Комиссии по соблюдению требований к служебному поведению муниципальных служащих и урегулированию конфликтов интересов в Контрольно-счетной палате Раменского городского округа, по состоянию на 01.11.2022 отсутствуют.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LibreOffice/5.4.0.3$MacOSX_X86_64 LibreOffice_project/7556cbc6811c9d992f4064ab9287069087d7f62c</Application>
  <Pages>1</Pages>
  <Words>57</Words>
  <Characters>437</Characters>
  <CharactersWithSpaces>492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2022-11-08T07:09:00Z</dcterms:created>
  <dc:creator>Шилова</dc:creator>
  <dc:description/>
  <dc:language>ru-RU</dc:language>
  <cp:lastModifiedBy>P02U06</cp:lastModifiedBy>
  <dcterms:modified xsi:type="dcterms:W3CDTF">2022-11-08T07:10:00Z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